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宋体"/>
          <w:b/>
          <w:bCs/>
          <w:kern w:val="0"/>
          <w:sz w:val="24"/>
        </w:rPr>
      </w:pPr>
      <w:r>
        <w:rPr>
          <w:rFonts w:hint="eastAsia" w:ascii="仿宋" w:hAnsi="仿宋" w:eastAsia="仿宋" w:cs="宋体"/>
          <w:b/>
          <w:bCs/>
          <w:kern w:val="0"/>
          <w:sz w:val="24"/>
        </w:rPr>
        <w:t>附件二：</w:t>
      </w:r>
      <w:bookmarkStart w:id="0" w:name="_GoBack"/>
      <w:bookmarkEnd w:id="0"/>
    </w:p>
    <w:p>
      <w:pPr>
        <w:spacing w:line="360" w:lineRule="auto"/>
        <w:ind w:firstLine="300" w:firstLineChars="100"/>
        <w:jc w:val="center"/>
        <w:rPr>
          <w:rFonts w:ascii="黑体" w:hAnsi="黑体" w:eastAsia="黑体" w:cs="微软雅黑"/>
          <w:kern w:val="0"/>
          <w:sz w:val="30"/>
          <w:szCs w:val="30"/>
        </w:rPr>
      </w:pPr>
      <w:r>
        <w:rPr>
          <w:rFonts w:hint="eastAsia" w:ascii="黑体" w:hAnsi="黑体" w:eastAsia="黑体" w:cs="微软雅黑"/>
          <w:kern w:val="0"/>
          <w:sz w:val="30"/>
          <w:szCs w:val="30"/>
        </w:rPr>
        <w:t>工商管理学院/马克思主义学院综合评价和学术专长考核表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76"/>
        <w:gridCol w:w="7371"/>
        <w:gridCol w:w="3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8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8"/>
              </w:rPr>
              <w:t>项目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8"/>
              </w:rPr>
              <w:t>分值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704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参军入伍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ascii="Times New Roman" w:hAnsi="Times New Roman" w:eastAsia="仿宋" w:cs="Times New Roman"/>
                <w:sz w:val="24"/>
                <w:szCs w:val="28"/>
              </w:rPr>
              <w:t>A档：</w:t>
            </w: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参军并获得军功</w:t>
            </w:r>
            <w:r>
              <w:rPr>
                <w:rFonts w:ascii="Times New Roman" w:hAnsi="Times New Roman" w:eastAsia="仿宋" w:cs="Times New Roman"/>
                <w:sz w:val="24"/>
                <w:szCs w:val="28"/>
              </w:rPr>
              <w:t>1分；</w:t>
            </w:r>
          </w:p>
          <w:p>
            <w:pPr>
              <w:widowControl/>
              <w:spacing w:line="276" w:lineRule="auto"/>
              <w:jc w:val="left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ascii="Times New Roman" w:hAnsi="Times New Roman" w:eastAsia="仿宋" w:cs="Times New Roman"/>
                <w:sz w:val="24"/>
                <w:szCs w:val="28"/>
              </w:rPr>
              <w:t>B档</w:t>
            </w: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；参军</w:t>
            </w:r>
            <w:r>
              <w:rPr>
                <w:rFonts w:ascii="Times New Roman" w:hAnsi="Times New Roman" w:eastAsia="仿宋" w:cs="Times New Roman"/>
                <w:sz w:val="24"/>
                <w:szCs w:val="28"/>
              </w:rPr>
              <w:t>0.5分</w:t>
            </w: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。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上限</w:t>
            </w:r>
            <w:r>
              <w:rPr>
                <w:rFonts w:ascii="Times New Roman" w:hAnsi="Times New Roman" w:eastAsia="仿宋" w:cs="Times New Roman"/>
                <w:sz w:val="24"/>
                <w:szCs w:val="28"/>
              </w:rPr>
              <w:t>1</w:t>
            </w: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志愿服务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ascii="Times New Roman" w:hAnsi="Times New Roman" w:eastAsia="仿宋" w:cs="Times New Roman"/>
                <w:sz w:val="24"/>
                <w:szCs w:val="28"/>
              </w:rPr>
              <w:t>A档：（时长≥60小时）：2分；</w:t>
            </w:r>
          </w:p>
          <w:p>
            <w:pPr>
              <w:widowControl/>
              <w:spacing w:line="276" w:lineRule="auto"/>
              <w:jc w:val="left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ascii="Times New Roman" w:hAnsi="Times New Roman" w:eastAsia="仿宋" w:cs="Times New Roman"/>
                <w:sz w:val="24"/>
                <w:szCs w:val="28"/>
              </w:rPr>
              <w:t>B档（60小时＞时长≥30小时）：1分；</w:t>
            </w:r>
          </w:p>
          <w:p>
            <w:pPr>
              <w:widowControl/>
              <w:spacing w:line="276" w:lineRule="auto"/>
              <w:jc w:val="left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ascii="Times New Roman" w:hAnsi="Times New Roman" w:eastAsia="仿宋" w:cs="Times New Roman"/>
                <w:sz w:val="24"/>
                <w:szCs w:val="28"/>
              </w:rPr>
              <w:t>C档（30小时＞时长≥10小时）：0.5分；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上限</w:t>
            </w:r>
            <w:r>
              <w:rPr>
                <w:rFonts w:ascii="Times New Roman" w:hAnsi="Times New Roman" w:eastAsia="仿宋" w:cs="Times New Roman"/>
                <w:sz w:val="24"/>
                <w:szCs w:val="28"/>
              </w:rPr>
              <w:t>2</w:t>
            </w: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学科竞赛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ascii="Times New Roman" w:hAnsi="Times New Roman" w:eastAsia="仿宋" w:cs="Times New Roman"/>
                <w:sz w:val="24"/>
                <w:szCs w:val="28"/>
              </w:rPr>
              <w:t>A档（国家级学科竞赛获一等奖）：4分</w:t>
            </w:r>
          </w:p>
          <w:p>
            <w:pPr>
              <w:widowControl/>
              <w:spacing w:line="276" w:lineRule="auto"/>
              <w:jc w:val="left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ascii="Times New Roman" w:hAnsi="Times New Roman" w:eastAsia="仿宋" w:cs="Times New Roman"/>
                <w:sz w:val="24"/>
                <w:szCs w:val="28"/>
              </w:rPr>
              <w:t>B档（国家级学科竞赛获二等奖）：3分</w:t>
            </w:r>
          </w:p>
          <w:p>
            <w:pPr>
              <w:widowControl/>
              <w:spacing w:line="276" w:lineRule="auto"/>
              <w:jc w:val="left"/>
              <w:rPr>
                <w:rFonts w:hint="eastAsia"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C</w:t>
            </w:r>
            <w:r>
              <w:rPr>
                <w:rFonts w:ascii="Times New Roman" w:hAnsi="Times New Roman" w:eastAsia="仿宋" w:cs="Times New Roman"/>
                <w:sz w:val="24"/>
                <w:szCs w:val="28"/>
              </w:rPr>
              <w:t>档（国家级学科竞赛获三等奖）：2分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上限4分，竞赛为校区团委竞赛库中或教育部教指委主办的专业竞赛项目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科研成果</w:t>
            </w:r>
          </w:p>
        </w:tc>
        <w:tc>
          <w:tcPr>
            <w:tcW w:w="7371" w:type="dxa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在国内核心学术期刊发表论文</w:t>
            </w:r>
            <w:r>
              <w:rPr>
                <w:rFonts w:ascii="Times New Roman" w:hAnsi="Times New Roman" w:eastAsia="仿宋" w:cs="Times New Roman"/>
                <w:sz w:val="24"/>
                <w:szCs w:val="28"/>
              </w:rPr>
              <w:t>1篇及以上或获国家软件著作权1项及以上：3分</w:t>
            </w:r>
          </w:p>
          <w:p>
            <w:pPr>
              <w:widowControl/>
              <w:spacing w:line="276" w:lineRule="auto"/>
              <w:jc w:val="left"/>
              <w:rPr>
                <w:rFonts w:ascii="Times New Roman" w:hAnsi="Times New Roman" w:eastAsia="仿宋" w:cs="Times New Roman"/>
                <w:sz w:val="24"/>
                <w:szCs w:val="28"/>
              </w:rPr>
            </w:pPr>
          </w:p>
        </w:tc>
        <w:tc>
          <w:tcPr>
            <w:tcW w:w="3118" w:type="dxa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Times New Roman" w:hAnsi="Times New Roman" w:eastAsia="仿宋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上限</w:t>
            </w:r>
            <w:r>
              <w:rPr>
                <w:rFonts w:ascii="Times New Roman" w:hAnsi="Times New Roman" w:eastAsia="仿宋" w:cs="Times New Roman"/>
                <w:sz w:val="24"/>
                <w:szCs w:val="28"/>
              </w:rPr>
              <w:t>3</w:t>
            </w:r>
            <w:r>
              <w:rPr>
                <w:rFonts w:hint="eastAsia" w:ascii="Times New Roman" w:hAnsi="Times New Roman" w:eastAsia="仿宋" w:cs="Times New Roman"/>
                <w:sz w:val="24"/>
                <w:szCs w:val="28"/>
              </w:rPr>
              <w:t>分，申请者必须为独立作者或第一作者，作者单位：中国石油大学（北京）克拉玛依校区，文章需见刊。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6207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